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61D1AA" wp14:editId="5BA0FF73">
            <wp:simplePos x="0" y="0"/>
            <wp:positionH relativeFrom="column">
              <wp:posOffset>1847850</wp:posOffset>
            </wp:positionH>
            <wp:positionV relativeFrom="paragraph">
              <wp:posOffset>-8890</wp:posOffset>
            </wp:positionV>
            <wp:extent cx="1571625" cy="64169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716D4BC8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Class:</w:t>
            </w:r>
            <w:r w:rsidR="00686896" w:rsidRPr="00686896">
              <w:rPr>
                <w:rFonts w:asciiTheme="majorHAnsi" w:hAnsiTheme="majorHAnsi" w:cstheme="majorHAnsi"/>
                <w:b/>
                <w:i/>
              </w:rPr>
              <w:t xml:space="preserve"> Year </w:t>
            </w:r>
            <w:r w:rsidR="00103561">
              <w:rPr>
                <w:rFonts w:asciiTheme="majorHAnsi" w:hAnsiTheme="majorHAnsi" w:cstheme="majorHAnsi"/>
                <w:b/>
                <w:i/>
              </w:rPr>
              <w:t>5&amp;6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B64BEB4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Lesson: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Developing Skills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0E34A884" w14:textId="58F45177" w:rsidR="008122D1" w:rsidRPr="00B86031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Lesson Objective:</w:t>
            </w:r>
          </w:p>
          <w:p w14:paraId="1162E073" w14:textId="2FE61E2B" w:rsidR="008122D1" w:rsidRPr="00B86031" w:rsidRDefault="009B075C" w:rsidP="009E2B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develop and explore their range and consistency of their skills in net and wall games and exercises.</w:t>
            </w:r>
          </w:p>
        </w:tc>
      </w:tr>
      <w:tr w:rsidR="008122D1" w14:paraId="63E4062C" w14:textId="77777777" w:rsidTr="008122D1">
        <w:tc>
          <w:tcPr>
            <w:tcW w:w="8550" w:type="dxa"/>
          </w:tcPr>
          <w:p w14:paraId="18A743E2" w14:textId="14CBE0E6" w:rsidR="008122D1" w:rsidRPr="00156D7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Resources: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Hoops, Balls, Cones.</w:t>
            </w:r>
          </w:p>
        </w:tc>
      </w:tr>
    </w:tbl>
    <w:p w14:paraId="10102696" w14:textId="7F3F5B81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690241B4" w:rsidR="008122D1" w:rsidRPr="006E71EB" w:rsidRDefault="008122D1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Warm Up: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307E3D">
              <w:rPr>
                <w:rFonts w:asciiTheme="majorHAnsi" w:hAnsiTheme="majorHAnsi" w:cstheme="majorHAnsi"/>
                <w:i/>
              </w:rPr>
              <w:t xml:space="preserve">Maintaining a rally between different groups is important today. We will start with maintaining a rally with the big, bouncy balls before trying to use smaller tennis balls to simulate a tennis rally, just without a racket. </w:t>
            </w:r>
          </w:p>
          <w:p w14:paraId="47F57BB6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0F759466" w14:textId="29A7C5E7" w:rsidR="00313E0D" w:rsidRPr="00307E3D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9B075C">
              <w:rPr>
                <w:rFonts w:asciiTheme="majorHAnsi" w:hAnsiTheme="majorHAnsi" w:cstheme="majorHAnsi"/>
                <w:b/>
              </w:rPr>
              <w:t xml:space="preserve"> </w:t>
            </w:r>
            <w:r w:rsidR="00A1602D">
              <w:rPr>
                <w:rFonts w:asciiTheme="majorHAnsi" w:hAnsiTheme="majorHAnsi" w:cstheme="majorHAnsi"/>
              </w:rPr>
              <w:t>It’s</w:t>
            </w:r>
            <w:r w:rsidR="00307E3D">
              <w:rPr>
                <w:rFonts w:asciiTheme="majorHAnsi" w:hAnsiTheme="majorHAnsi" w:cstheme="majorHAnsi"/>
              </w:rPr>
              <w:t xml:space="preserve"> important children get used to the smaller balls and being able to use their coordination to keep control of it.</w:t>
            </w:r>
          </w:p>
          <w:p w14:paraId="2CCAB72A" w14:textId="77777777" w:rsidR="00313E0D" w:rsidRPr="00686896" w:rsidRDefault="00313E0D" w:rsidP="009E2B52">
            <w:pPr>
              <w:rPr>
                <w:rFonts w:asciiTheme="majorHAnsi" w:hAnsiTheme="majorHAnsi" w:cstheme="majorHAnsi"/>
                <w:b/>
              </w:rPr>
            </w:pPr>
          </w:p>
          <w:p w14:paraId="6B677BA4" w14:textId="4F151DEB" w:rsidR="008122D1" w:rsidRPr="006C2F74" w:rsidRDefault="005A767F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Safety Points: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</w:t>
            </w:r>
          </w:p>
          <w:p w14:paraId="7BFF44BA" w14:textId="77777777" w:rsidR="008122D1" w:rsidRDefault="008122D1" w:rsidP="009E2B52"/>
        </w:tc>
      </w:tr>
      <w:tr w:rsidR="008122D1" w14:paraId="02C3C471" w14:textId="77777777" w:rsidTr="009E2B52">
        <w:tc>
          <w:tcPr>
            <w:tcW w:w="8516" w:type="dxa"/>
          </w:tcPr>
          <w:p w14:paraId="6BD3B3E1" w14:textId="34DA466F" w:rsidR="004B4F8B" w:rsidRDefault="008122D1" w:rsidP="00143BD6">
            <w:pPr>
              <w:rPr>
                <w:rFonts w:asciiTheme="majorHAnsi" w:hAnsiTheme="majorHAnsi" w:cstheme="majorHAnsi"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 xml:space="preserve">Main Activity: </w:t>
            </w:r>
            <w:r w:rsidR="00307E3D">
              <w:rPr>
                <w:rFonts w:asciiTheme="majorHAnsi" w:hAnsiTheme="majorHAnsi" w:cstheme="majorHAnsi"/>
                <w:i/>
              </w:rPr>
              <w:t>For children that excel in the warm up, they will move onto using rackets and balls. They will first get used to the rac</w:t>
            </w:r>
            <w:r w:rsidR="00744D5B">
              <w:rPr>
                <w:rFonts w:asciiTheme="majorHAnsi" w:hAnsiTheme="majorHAnsi" w:cstheme="majorHAnsi"/>
                <w:i/>
              </w:rPr>
              <w:t>quet</w:t>
            </w:r>
            <w:r w:rsidR="00307E3D">
              <w:rPr>
                <w:rFonts w:asciiTheme="majorHAnsi" w:hAnsiTheme="majorHAnsi" w:cstheme="majorHAnsi"/>
                <w:i/>
              </w:rPr>
              <w:t xml:space="preserve">, ball and the difference between the previous bouncy balls. They will </w:t>
            </w:r>
            <w:r w:rsidR="00103561">
              <w:rPr>
                <w:rFonts w:asciiTheme="majorHAnsi" w:hAnsiTheme="majorHAnsi" w:cstheme="majorHAnsi"/>
                <w:i/>
              </w:rPr>
              <w:t>then begin to try to create rallies between with each other in a game of tennis.</w:t>
            </w:r>
          </w:p>
          <w:p w14:paraId="517511C3" w14:textId="133745FA" w:rsidR="00307E3D" w:rsidRDefault="00307E3D" w:rsidP="00143BD6">
            <w:pPr>
              <w:rPr>
                <w:rFonts w:asciiTheme="majorHAnsi" w:hAnsiTheme="majorHAnsi" w:cstheme="majorHAnsi"/>
                <w:i/>
              </w:rPr>
            </w:pPr>
          </w:p>
          <w:p w14:paraId="5D37388A" w14:textId="6C35E4BA" w:rsidR="008122D1" w:rsidRPr="00693BBC" w:rsidRDefault="00307E3D" w:rsidP="009E2B52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For children that </w:t>
            </w:r>
            <w:r w:rsidR="00736821">
              <w:rPr>
                <w:rFonts w:asciiTheme="majorHAnsi" w:hAnsiTheme="majorHAnsi" w:cstheme="majorHAnsi"/>
                <w:i/>
              </w:rPr>
              <w:t xml:space="preserve">are still using bouncy balls, they must be in a game of hand tennis. You can start with the same drop and hit method to begin with but </w:t>
            </w:r>
            <w:r w:rsidR="00693BBC">
              <w:rPr>
                <w:rFonts w:asciiTheme="majorHAnsi" w:hAnsiTheme="majorHAnsi" w:cstheme="majorHAnsi"/>
                <w:i/>
              </w:rPr>
              <w:t>when able to, move them onto a game of hand tennis.</w:t>
            </w:r>
          </w:p>
          <w:p w14:paraId="1A8EF2E0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79084806" w14:textId="5AC062A8" w:rsidR="008122D1" w:rsidRPr="00693BBC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041CE6">
              <w:rPr>
                <w:rFonts w:asciiTheme="majorHAnsi" w:hAnsiTheme="majorHAnsi" w:cstheme="majorHAnsi"/>
                <w:b/>
              </w:rPr>
              <w:t xml:space="preserve"> </w:t>
            </w:r>
            <w:r w:rsidR="00693BBC">
              <w:rPr>
                <w:rFonts w:asciiTheme="majorHAnsi" w:hAnsiTheme="majorHAnsi" w:cstheme="majorHAnsi"/>
              </w:rPr>
              <w:t>Make sure children stay patient when hitting the ball and remind them about their hand-eye coordination from the first term.</w:t>
            </w:r>
          </w:p>
          <w:p w14:paraId="4DC0076A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41CD79BB" w14:textId="0C9D21F7" w:rsidR="008122D1" w:rsidRPr="00CE48E8" w:rsidRDefault="005A767F" w:rsidP="003C42C1">
            <w:r w:rsidRPr="00686896">
              <w:rPr>
                <w:rFonts w:asciiTheme="majorHAnsi" w:hAnsiTheme="majorHAnsi" w:cstheme="majorHAnsi"/>
                <w:b/>
                <w:i/>
              </w:rPr>
              <w:t>Safety Points:</w:t>
            </w:r>
            <w:r w:rsidR="00041CE6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CE48E8">
              <w:rPr>
                <w:rFonts w:asciiTheme="majorHAnsi" w:hAnsiTheme="majorHAnsi" w:cstheme="majorHAnsi"/>
                <w:i/>
              </w:rPr>
              <w:t xml:space="preserve">Children </w:t>
            </w:r>
            <w:r w:rsidR="0008613B">
              <w:rPr>
                <w:rFonts w:asciiTheme="majorHAnsi" w:hAnsiTheme="majorHAnsi" w:cstheme="majorHAnsi"/>
                <w:i/>
              </w:rPr>
              <w:t xml:space="preserve">must have their own space to make sure </w:t>
            </w:r>
            <w:r w:rsidR="00744D5B">
              <w:rPr>
                <w:rFonts w:asciiTheme="majorHAnsi" w:hAnsiTheme="majorHAnsi" w:cstheme="majorHAnsi"/>
                <w:i/>
              </w:rPr>
              <w:t>they won’t hurt anyone if swinging the racquet.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25AAAF0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Warm Down</w:t>
            </w:r>
            <w:r w:rsidRPr="00686896">
              <w:rPr>
                <w:rFonts w:asciiTheme="majorHAnsi" w:hAnsiTheme="majorHAnsi" w:cstheme="majorHAnsi"/>
              </w:rPr>
              <w:t>:</w:t>
            </w:r>
            <w:r w:rsidR="004B4F8B">
              <w:rPr>
                <w:rFonts w:asciiTheme="majorHAnsi" w:hAnsiTheme="majorHAnsi" w:cstheme="majorHAnsi"/>
              </w:rPr>
              <w:t xml:space="preserve"> </w:t>
            </w:r>
            <w:r w:rsidR="00103561">
              <w:rPr>
                <w:rFonts w:asciiTheme="majorHAnsi" w:hAnsiTheme="majorHAnsi" w:cstheme="majorHAnsi"/>
              </w:rPr>
              <w:t xml:space="preserve">For the warm down, children will play Spot Ball. </w:t>
            </w:r>
            <w:r w:rsidR="00103561" w:rsidRPr="00103561">
              <w:rPr>
                <w:rFonts w:asciiTheme="majorHAnsi" w:hAnsiTheme="majorHAnsi" w:cstheme="majorHAnsi"/>
              </w:rPr>
              <w:t>A player can score by:</w:t>
            </w:r>
            <w:r w:rsidR="00103561" w:rsidRPr="00103561">
              <w:rPr>
                <w:rFonts w:asciiTheme="majorHAnsi" w:hAnsiTheme="majorHAnsi" w:cstheme="majorHAnsi"/>
              </w:rPr>
              <w:br/>
              <w:t>1. Having the tennis ball bounce twice before their opponent can catch it,</w:t>
            </w:r>
            <w:r w:rsidR="00103561" w:rsidRPr="00103561">
              <w:rPr>
                <w:rFonts w:asciiTheme="majorHAnsi" w:hAnsiTheme="majorHAnsi" w:cstheme="majorHAnsi"/>
              </w:rPr>
              <w:br/>
              <w:t>2. By having the ball land on rubber spot in the middle of the court,</w:t>
            </w:r>
            <w:r w:rsidR="00103561" w:rsidRPr="00103561">
              <w:rPr>
                <w:rFonts w:asciiTheme="majorHAnsi" w:hAnsiTheme="majorHAnsi" w:cstheme="majorHAnsi"/>
              </w:rPr>
              <w:br/>
              <w:t>3. If the ball lands out of bounds (a point is awarded to the opposing player).</w:t>
            </w:r>
            <w:r w:rsidR="00103561">
              <w:rPr>
                <w:rFonts w:asciiTheme="majorHAnsi" w:hAnsiTheme="majorHAnsi" w:cstheme="majorHAnsi"/>
              </w:rPr>
              <w:t xml:space="preserve"> </w:t>
            </w:r>
          </w:p>
          <w:p w14:paraId="3A70DE45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170BC034" w14:textId="29DE504A" w:rsidR="008122D1" w:rsidRPr="00744D5B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7D1367">
              <w:rPr>
                <w:rFonts w:asciiTheme="majorHAnsi" w:hAnsiTheme="majorHAnsi" w:cstheme="majorHAnsi"/>
                <w:b/>
              </w:rPr>
              <w:t xml:space="preserve"> </w:t>
            </w:r>
            <w:bookmarkStart w:id="0" w:name="_GoBack"/>
            <w:bookmarkEnd w:id="0"/>
          </w:p>
          <w:p w14:paraId="38D95B24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7FE48983" w14:textId="77777777" w:rsidR="008122D1" w:rsidRPr="00686896" w:rsidRDefault="005A767F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Safety Points</w:t>
            </w:r>
            <w:r w:rsidRPr="00686896">
              <w:rPr>
                <w:rFonts w:asciiTheme="majorHAnsi" w:hAnsiTheme="majorHAnsi" w:cstheme="majorHAnsi"/>
              </w:rPr>
              <w:t>:</w:t>
            </w:r>
          </w:p>
          <w:p w14:paraId="058A3C2A" w14:textId="77777777" w:rsidR="005A767F" w:rsidRPr="00686896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  <w:u w:val="single"/>
              </w:rPr>
            </w:pPr>
            <w:r w:rsidRPr="00686896">
              <w:rPr>
                <w:rFonts w:asciiTheme="majorHAnsi" w:hAnsiTheme="majorHAnsi" w:cstheme="majorHAnsi"/>
                <w:b/>
                <w:i/>
                <w:u w:val="single"/>
              </w:rPr>
              <w:t>Plenary:</w:t>
            </w:r>
          </w:p>
          <w:p w14:paraId="29AF9A9C" w14:textId="3E37499C" w:rsidR="008122D1" w:rsidRDefault="008122D1" w:rsidP="009E2B52"/>
        </w:tc>
      </w:tr>
    </w:tbl>
    <w:p w14:paraId="20172681" w14:textId="6BEF788C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5A2D57">
        <w:tc>
          <w:tcPr>
            <w:tcW w:w="8516" w:type="dxa"/>
          </w:tcPr>
          <w:p w14:paraId="332CDEA8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RED:</w:t>
            </w:r>
          </w:p>
          <w:p w14:paraId="4A65CB5B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CB7FC0D" w14:textId="4578E7EA" w:rsidR="005A2D57" w:rsidRPr="00686896" w:rsidRDefault="005A2D57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5A2D57">
        <w:tc>
          <w:tcPr>
            <w:tcW w:w="8516" w:type="dxa"/>
          </w:tcPr>
          <w:p w14:paraId="7049AEAE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FF6600"/>
                <w:sz w:val="20"/>
                <w:szCs w:val="20"/>
              </w:rPr>
              <w:t>AMBER:</w:t>
            </w:r>
          </w:p>
          <w:p w14:paraId="272EB23F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</w:p>
          <w:p w14:paraId="268CF7F7" w14:textId="3B7589A7" w:rsidR="005A2D57" w:rsidRPr="00686896" w:rsidRDefault="005A2D57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5A2D57">
        <w:tc>
          <w:tcPr>
            <w:tcW w:w="8516" w:type="dxa"/>
          </w:tcPr>
          <w:p w14:paraId="715BDA2A" w14:textId="77777777" w:rsidR="008122D1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008000"/>
                <w:sz w:val="20"/>
                <w:szCs w:val="20"/>
              </w:rPr>
              <w:lastRenderedPageBreak/>
              <w:t>GREEN:</w:t>
            </w:r>
          </w:p>
          <w:p w14:paraId="2C7C6683" w14:textId="77777777" w:rsidR="005A2D57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</w:p>
          <w:p w14:paraId="640838B8" w14:textId="45B7852A" w:rsidR="005A2D57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</w:p>
        </w:tc>
      </w:tr>
    </w:tbl>
    <w:p w14:paraId="7D5EAEB8" w14:textId="795B1473" w:rsidR="008122D1" w:rsidRDefault="008122D1" w:rsidP="005A2D57"/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328"/>
    <w:rsid w:val="00041CE6"/>
    <w:rsid w:val="0008613B"/>
    <w:rsid w:val="000901C8"/>
    <w:rsid w:val="00103561"/>
    <w:rsid w:val="00143BD6"/>
    <w:rsid w:val="00156D76"/>
    <w:rsid w:val="00307E3D"/>
    <w:rsid w:val="00313E0D"/>
    <w:rsid w:val="003C42C1"/>
    <w:rsid w:val="004B4F8B"/>
    <w:rsid w:val="004C0EFB"/>
    <w:rsid w:val="005A2D57"/>
    <w:rsid w:val="005A767F"/>
    <w:rsid w:val="005C7F6D"/>
    <w:rsid w:val="00686896"/>
    <w:rsid w:val="00693BBC"/>
    <w:rsid w:val="006C2F74"/>
    <w:rsid w:val="006E71EB"/>
    <w:rsid w:val="00736821"/>
    <w:rsid w:val="00744D5B"/>
    <w:rsid w:val="007D1367"/>
    <w:rsid w:val="007E45B3"/>
    <w:rsid w:val="008122D1"/>
    <w:rsid w:val="0093500E"/>
    <w:rsid w:val="009B075C"/>
    <w:rsid w:val="00A1602D"/>
    <w:rsid w:val="00B86031"/>
    <w:rsid w:val="00B8675A"/>
    <w:rsid w:val="00BA5AAB"/>
    <w:rsid w:val="00C0301B"/>
    <w:rsid w:val="00C74553"/>
    <w:rsid w:val="00CE48E8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Stanton</cp:lastModifiedBy>
  <cp:revision>7</cp:revision>
  <dcterms:created xsi:type="dcterms:W3CDTF">2019-01-27T12:24:00Z</dcterms:created>
  <dcterms:modified xsi:type="dcterms:W3CDTF">2019-02-04T10:43:00Z</dcterms:modified>
</cp:coreProperties>
</file>